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67" w:rsidRPr="00141E9B" w:rsidRDefault="005C3867" w:rsidP="005C386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ZP.271.2.28.2022</w:t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5C3867" w:rsidRPr="00141E9B" w:rsidRDefault="005C3867" w:rsidP="005C3867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141E9B">
        <w:rPr>
          <w:rFonts w:ascii="Arial" w:eastAsia="Calibri" w:hAnsi="Arial" w:cs="Arial"/>
          <w:sz w:val="24"/>
          <w:szCs w:val="24"/>
        </w:rPr>
        <w:t xml:space="preserve">Postępowanie o udzielenie zamówienia publicznego prowadzonego w trybie przetargu nieograniczonego na zadanie pn.: </w:t>
      </w:r>
      <w:r w:rsidRPr="00141E9B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  <w:t xml:space="preserve">Załącznik nr  </w:t>
      </w:r>
      <w:r w:rsidR="006F3AEF">
        <w:rPr>
          <w:rFonts w:ascii="Arial" w:eastAsia="Calibri" w:hAnsi="Arial" w:cs="Arial"/>
          <w:sz w:val="24"/>
          <w:szCs w:val="24"/>
        </w:rPr>
        <w:t>8</w:t>
      </w:r>
      <w:r w:rsidRPr="00A242C7">
        <w:rPr>
          <w:rFonts w:ascii="Arial" w:eastAsia="Calibri" w:hAnsi="Arial" w:cs="Arial"/>
          <w:sz w:val="24"/>
          <w:szCs w:val="24"/>
        </w:rPr>
        <w:t>a do SWZ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A242C7" w:rsidRPr="00A242C7" w:rsidRDefault="00A242C7" w:rsidP="005C3867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A242C7">
        <w:rPr>
          <w:rFonts w:ascii="Arial" w:eastAsia="Calibri" w:hAnsi="Arial" w:cs="Arial"/>
          <w:sz w:val="24"/>
          <w:szCs w:val="24"/>
          <w:lang w:eastAsia="pl-PL"/>
        </w:rPr>
        <w:br/>
        <w:t>w trybie przetargu nieograniczonego pn</w:t>
      </w:r>
      <w:r w:rsidR="005C386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5C3867" w:rsidRPr="005C3867">
        <w:rPr>
          <w:rFonts w:ascii="Arial" w:eastAsia="Times New Roman" w:hAnsi="Arial" w:cs="Arial"/>
          <w:b/>
          <w:sz w:val="24"/>
          <w:szCs w:val="24"/>
          <w:lang w:eastAsia="pl-PL"/>
        </w:rPr>
        <w:t>Odbiór odpadów komunalnych od właścicieli nieruchomości zamieszkałych zlokalizowanych na terenie Gminy Wieluń”</w:t>
      </w:r>
      <w:r w:rsidR="005C38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oświadczam/my, że informacje zawarte w oświadczeniu, o którym mowa w art. 125 ust. 1 ustawy Pzp w zakresie podstaw wykluczenia z postępowania wskazanych przez Zamawiającego, o których mowa w:</w:t>
      </w:r>
    </w:p>
    <w:p w:rsidR="00A242C7" w:rsidRPr="00A242C7" w:rsidRDefault="00445EE5" w:rsidP="00A242C7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A242C7" w:rsidRPr="00A242C7" w:rsidRDefault="00445EE5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A242C7" w:rsidRPr="00A242C7" w:rsidRDefault="00445EE5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A242C7" w:rsidRDefault="00445EE5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8E0B0D" w:rsidRDefault="008E0B0D" w:rsidP="008E0B0D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iCs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A242C7">
        <w:rPr>
          <w:rFonts w:ascii="Arial" w:eastAsia="Calibri" w:hAnsi="Arial" w:cs="Arial"/>
          <w:iCs/>
          <w:sz w:val="24"/>
          <w:szCs w:val="24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42C7" w:rsidRPr="00A242C7" w:rsidRDefault="00A242C7" w:rsidP="00A242C7">
      <w:pPr>
        <w:widowControl w:val="0"/>
        <w:spacing w:after="400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A242C7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242C7" w:rsidRPr="00A242C7" w:rsidRDefault="003B5AA5" w:rsidP="00A242C7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A242C7">
        <w:rPr>
          <w:rFonts w:ascii="Arial" w:eastAsia="Calibri" w:hAnsi="Arial" w:cs="Arial"/>
          <w:b/>
          <w:bCs/>
          <w:i/>
          <w:iCs/>
        </w:rPr>
        <w:t>Oświadczanie</w:t>
      </w:r>
      <w:bookmarkStart w:id="0" w:name="_GoBack"/>
      <w:bookmarkEnd w:id="0"/>
      <w:r w:rsidR="00A242C7" w:rsidRPr="00A242C7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="00A242C7" w:rsidRPr="00A242C7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="00A242C7" w:rsidRPr="00A242C7">
        <w:rPr>
          <w:rFonts w:ascii="Arial" w:eastAsia="Calibri" w:hAnsi="Arial" w:cs="Arial"/>
          <w:b/>
          <w:i/>
        </w:rPr>
        <w:t>osby</w:t>
      </w:r>
      <w:proofErr w:type="spellEnd"/>
      <w:r w:rsidR="00A242C7" w:rsidRPr="00A242C7">
        <w:rPr>
          <w:rFonts w:ascii="Arial" w:eastAsia="Calibri" w:hAnsi="Arial" w:cs="Arial"/>
          <w:b/>
          <w:i/>
        </w:rPr>
        <w:t xml:space="preserve">) upoważnioną(e) do podpisania w imieniu podmiotu na zasoby, którego powołuje się Wykonawca </w:t>
      </w:r>
    </w:p>
    <w:p w:rsidR="00744F40" w:rsidRDefault="00744F40"/>
    <w:sectPr w:rsidR="00744F40" w:rsidSect="00AE7A1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E5" w:rsidRDefault="00445EE5" w:rsidP="00A242C7">
      <w:pPr>
        <w:spacing w:after="0" w:line="240" w:lineRule="auto"/>
      </w:pPr>
      <w:r>
        <w:separator/>
      </w:r>
    </w:p>
  </w:endnote>
  <w:endnote w:type="continuationSeparator" w:id="0">
    <w:p w:rsidR="00445EE5" w:rsidRDefault="00445EE5" w:rsidP="00A2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50" w:rsidRDefault="0001222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5AA5">
      <w:rPr>
        <w:noProof/>
      </w:rPr>
      <w:t>2</w:t>
    </w:r>
    <w:r>
      <w:rPr>
        <w:noProof/>
      </w:rPr>
      <w:fldChar w:fldCharType="end"/>
    </w:r>
  </w:p>
  <w:p w:rsidR="00FA0950" w:rsidRDefault="00445E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E5" w:rsidRDefault="00445EE5" w:rsidP="00A242C7">
      <w:pPr>
        <w:spacing w:after="0" w:line="240" w:lineRule="auto"/>
      </w:pPr>
      <w:r>
        <w:separator/>
      </w:r>
    </w:p>
  </w:footnote>
  <w:footnote w:type="continuationSeparator" w:id="0">
    <w:p w:rsidR="00445EE5" w:rsidRDefault="00445EE5" w:rsidP="00A242C7">
      <w:pPr>
        <w:spacing w:after="0" w:line="240" w:lineRule="auto"/>
      </w:pPr>
      <w:r>
        <w:continuationSeparator/>
      </w:r>
    </w:p>
  </w:footnote>
  <w:footnote w:id="1">
    <w:p w:rsidR="00A242C7" w:rsidRPr="00947E63" w:rsidRDefault="00A242C7" w:rsidP="00A242C7">
      <w:pPr>
        <w:pStyle w:val="Tekstprzypisudolnego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A242C7" w:rsidRPr="00947E63" w:rsidRDefault="00A242C7" w:rsidP="00A242C7">
      <w:pPr>
        <w:pStyle w:val="Tekstprzypisudolnego"/>
        <w:ind w:hanging="142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044013"/>
    <w:multiLevelType w:val="multilevel"/>
    <w:tmpl w:val="BDC6EEF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7"/>
    <w:rsid w:val="0001222B"/>
    <w:rsid w:val="000964B1"/>
    <w:rsid w:val="001301B3"/>
    <w:rsid w:val="003B5AA5"/>
    <w:rsid w:val="00445EE5"/>
    <w:rsid w:val="005C3867"/>
    <w:rsid w:val="00654DB7"/>
    <w:rsid w:val="006F3AEF"/>
    <w:rsid w:val="00744F40"/>
    <w:rsid w:val="007B667C"/>
    <w:rsid w:val="008E0B0D"/>
    <w:rsid w:val="00925FE9"/>
    <w:rsid w:val="00961479"/>
    <w:rsid w:val="00A242C7"/>
    <w:rsid w:val="00EA52C2"/>
    <w:rsid w:val="00F0502A"/>
    <w:rsid w:val="00FC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8E0B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8E0B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8</cp:revision>
  <dcterms:created xsi:type="dcterms:W3CDTF">2022-03-04T11:27:00Z</dcterms:created>
  <dcterms:modified xsi:type="dcterms:W3CDTF">2022-08-04T09:18:00Z</dcterms:modified>
</cp:coreProperties>
</file>